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ascii="Times New Roman" w:hAnsi="Times New Roman" w:eastAsia="华文中宋"/>
          <w:b/>
          <w:color w:val="333333"/>
          <w:kern w:val="0"/>
          <w:sz w:val="30"/>
          <w:szCs w:val="30"/>
        </w:rPr>
      </w:pPr>
      <w:r>
        <w:rPr>
          <w:rFonts w:hint="eastAsia" w:ascii="Times New Roman" w:hAnsi="Times New Roman" w:eastAsia="华文中宋"/>
          <w:b/>
          <w:color w:val="333333"/>
          <w:kern w:val="0"/>
          <w:sz w:val="30"/>
          <w:szCs w:val="30"/>
        </w:rPr>
        <w:t>土木工程学院关于评选</w:t>
      </w:r>
      <w:r>
        <w:rPr>
          <w:rFonts w:ascii="Times New Roman" w:hAnsi="Times New Roman" w:eastAsia="华文中宋"/>
          <w:b/>
          <w:color w:val="333333"/>
          <w:kern w:val="0"/>
          <w:sz w:val="30"/>
          <w:szCs w:val="30"/>
        </w:rPr>
        <w:t>201</w:t>
      </w:r>
      <w:r>
        <w:rPr>
          <w:rFonts w:hint="eastAsia" w:ascii="Times New Roman" w:hAnsi="Times New Roman" w:eastAsia="华文中宋"/>
          <w:b/>
          <w:color w:val="333333"/>
          <w:kern w:val="0"/>
          <w:sz w:val="30"/>
          <w:szCs w:val="30"/>
          <w:lang w:val="en-US" w:eastAsia="zh-CN"/>
        </w:rPr>
        <w:t>9</w:t>
      </w:r>
      <w:r>
        <w:rPr>
          <w:rFonts w:hint="eastAsia" w:ascii="Times New Roman" w:hAnsi="Times New Roman" w:eastAsia="华文中宋"/>
          <w:b/>
          <w:color w:val="333333"/>
          <w:kern w:val="0"/>
          <w:sz w:val="30"/>
          <w:szCs w:val="30"/>
        </w:rPr>
        <w:t>年度</w:t>
      </w:r>
    </w:p>
    <w:p>
      <w:pPr>
        <w:widowControl/>
        <w:spacing w:line="600" w:lineRule="exact"/>
        <w:jc w:val="center"/>
        <w:rPr>
          <w:rFonts w:ascii="宋体" w:cs="宋体"/>
          <w:color w:val="000000"/>
          <w:kern w:val="0"/>
          <w:sz w:val="30"/>
          <w:szCs w:val="30"/>
        </w:rPr>
      </w:pPr>
      <w:r>
        <w:rPr>
          <w:rFonts w:hint="eastAsia" w:ascii="Times New Roman" w:hAnsi="Times New Roman" w:eastAsia="华文中宋"/>
          <w:b/>
          <w:color w:val="000000"/>
          <w:kern w:val="0"/>
          <w:sz w:val="30"/>
          <w:szCs w:val="30"/>
        </w:rPr>
        <w:t>研究生国家奖学金的评审细则</w:t>
      </w:r>
    </w:p>
    <w:p>
      <w:pPr>
        <w:rPr>
          <w:color w:val="000000"/>
          <w:sz w:val="30"/>
          <w:szCs w:val="30"/>
        </w:rPr>
      </w:pPr>
    </w:p>
    <w:p>
      <w:pPr>
        <w:adjustRightInd w:val="0"/>
        <w:snapToGrid w:val="0"/>
        <w:spacing w:line="336" w:lineRule="auto"/>
        <w:jc w:val="left"/>
        <w:rPr>
          <w:b w:val="0"/>
          <w:bCs/>
          <w:color w:val="000000"/>
          <w:sz w:val="24"/>
          <w:szCs w:val="24"/>
        </w:rPr>
      </w:pPr>
      <w:r>
        <w:rPr>
          <w:b/>
          <w:color w:val="000000"/>
        </w:rPr>
        <w:t xml:space="preserve">   </w:t>
      </w:r>
      <w:r>
        <w:rPr>
          <w:rFonts w:hint="eastAsia"/>
          <w:b w:val="0"/>
          <w:bCs/>
          <w:color w:val="000000"/>
          <w:sz w:val="24"/>
          <w:szCs w:val="24"/>
        </w:rPr>
        <w:t>依据《哈尔滨工业大学关于</w:t>
      </w:r>
      <w:r>
        <w:rPr>
          <w:b w:val="0"/>
          <w:bCs/>
          <w:color w:val="000000"/>
          <w:sz w:val="24"/>
          <w:szCs w:val="24"/>
        </w:rPr>
        <w:t>201</w:t>
      </w:r>
      <w:r>
        <w:rPr>
          <w:rFonts w:hint="eastAsia"/>
          <w:b w:val="0"/>
          <w:bCs/>
          <w:color w:val="000000"/>
          <w:sz w:val="24"/>
          <w:szCs w:val="24"/>
          <w:lang w:val="en-US" w:eastAsia="zh-CN"/>
        </w:rPr>
        <w:t>9</w:t>
      </w:r>
      <w:r>
        <w:rPr>
          <w:rFonts w:hint="eastAsia"/>
          <w:b w:val="0"/>
          <w:bCs/>
          <w:color w:val="000000"/>
          <w:sz w:val="24"/>
          <w:szCs w:val="24"/>
        </w:rPr>
        <w:t>年度研究生国家奖学金评选的通知》和</w:t>
      </w:r>
      <w:r>
        <w:rPr>
          <w:b w:val="0"/>
          <w:bCs/>
          <w:color w:val="000000"/>
          <w:sz w:val="24"/>
          <w:szCs w:val="24"/>
        </w:rPr>
        <w:t>201</w:t>
      </w:r>
      <w:r>
        <w:rPr>
          <w:rFonts w:hint="eastAsia"/>
          <w:b w:val="0"/>
          <w:bCs/>
          <w:color w:val="000000"/>
          <w:sz w:val="24"/>
          <w:szCs w:val="24"/>
          <w:lang w:val="en-US" w:eastAsia="zh-CN"/>
        </w:rPr>
        <w:t>9</w:t>
      </w:r>
      <w:r>
        <w:rPr>
          <w:rFonts w:hint="eastAsia"/>
          <w:b w:val="0"/>
          <w:bCs/>
          <w:color w:val="000000"/>
          <w:sz w:val="24"/>
          <w:szCs w:val="24"/>
        </w:rPr>
        <w:t>年评选的实际情况，本年度评选细则在</w:t>
      </w:r>
      <w:r>
        <w:rPr>
          <w:b w:val="0"/>
          <w:bCs/>
          <w:color w:val="000000"/>
          <w:sz w:val="24"/>
          <w:szCs w:val="24"/>
        </w:rPr>
        <w:t>1</w:t>
      </w:r>
      <w:r>
        <w:rPr>
          <w:rFonts w:hint="eastAsia"/>
          <w:b w:val="0"/>
          <w:bCs/>
          <w:color w:val="000000"/>
          <w:sz w:val="24"/>
          <w:szCs w:val="24"/>
          <w:lang w:val="en-US" w:eastAsia="zh-CN"/>
        </w:rPr>
        <w:t>8</w:t>
      </w:r>
      <w:r>
        <w:rPr>
          <w:rFonts w:hint="eastAsia"/>
          <w:b w:val="0"/>
          <w:bCs/>
          <w:color w:val="000000"/>
          <w:sz w:val="24"/>
          <w:szCs w:val="24"/>
        </w:rPr>
        <w:t>年评选细则基础上加以调整。</w:t>
      </w:r>
    </w:p>
    <w:p>
      <w:pPr>
        <w:rPr>
          <w:color w:val="000000"/>
          <w:sz w:val="24"/>
          <w:szCs w:val="24"/>
        </w:rPr>
      </w:pPr>
      <w:r>
        <w:rPr>
          <w:rFonts w:hint="eastAsia"/>
          <w:color w:val="000000"/>
          <w:sz w:val="24"/>
          <w:szCs w:val="24"/>
        </w:rPr>
        <w:t>一、土木工程学院研究生国家奖学金审评委员会</w:t>
      </w:r>
    </w:p>
    <w:p>
      <w:pPr>
        <w:rPr>
          <w:color w:val="000000"/>
          <w:sz w:val="24"/>
          <w:szCs w:val="24"/>
        </w:rPr>
      </w:pPr>
      <w:r>
        <w:rPr>
          <w:rFonts w:hint="eastAsia"/>
          <w:color w:val="000000"/>
          <w:sz w:val="24"/>
          <w:szCs w:val="24"/>
        </w:rPr>
        <w:t>主任委员：范峰</w:t>
      </w:r>
    </w:p>
    <w:p>
      <w:pPr>
        <w:ind w:left="31680" w:hanging="1200" w:hangingChars="500"/>
        <w:rPr>
          <w:rFonts w:hint="eastAsia" w:eastAsia="宋体"/>
          <w:color w:val="000000" w:themeColor="text1"/>
          <w:sz w:val="24"/>
          <w:szCs w:val="24"/>
          <w:lang w:eastAsia="zh-CN"/>
        </w:rPr>
      </w:pPr>
      <w:r>
        <w:rPr>
          <w:rFonts w:hint="eastAsia"/>
          <w:color w:val="000000"/>
          <w:sz w:val="24"/>
          <w:szCs w:val="24"/>
        </w:rPr>
        <w:t>成</w:t>
      </w:r>
      <w:r>
        <w:rPr>
          <w:color w:val="000000"/>
          <w:sz w:val="24"/>
          <w:szCs w:val="24"/>
        </w:rPr>
        <w:t xml:space="preserve">    </w:t>
      </w:r>
      <w:r>
        <w:rPr>
          <w:rFonts w:hint="eastAsia"/>
          <w:color w:val="000000"/>
          <w:sz w:val="24"/>
          <w:szCs w:val="24"/>
        </w:rPr>
        <w:t>员：</w:t>
      </w:r>
      <w:r>
        <w:rPr>
          <w:rFonts w:hint="eastAsia"/>
          <w:color w:val="000000" w:themeColor="text1"/>
          <w:sz w:val="24"/>
          <w:szCs w:val="24"/>
          <w:lang w:eastAsia="zh-CN"/>
        </w:rPr>
        <w:t>乔世军</w:t>
      </w:r>
      <w:r>
        <w:rPr>
          <w:rFonts w:hint="eastAsia"/>
          <w:color w:val="000000" w:themeColor="text1"/>
          <w:sz w:val="24"/>
          <w:szCs w:val="24"/>
        </w:rPr>
        <w:t>、李惠、郑文忠、王政、凌贤长、周广春、吕大刚、关新春、武</w:t>
      </w:r>
      <w:r>
        <w:rPr>
          <w:color w:val="000000" w:themeColor="text1"/>
          <w:sz w:val="24"/>
          <w:szCs w:val="24"/>
        </w:rPr>
        <w:t xml:space="preserve">  </w:t>
      </w:r>
      <w:r>
        <w:rPr>
          <w:rFonts w:hint="eastAsia"/>
          <w:color w:val="000000" w:themeColor="text1"/>
          <w:sz w:val="24"/>
          <w:szCs w:val="24"/>
        </w:rPr>
        <w:t>岳、王玉银、</w:t>
      </w:r>
      <w:r>
        <w:rPr>
          <w:rFonts w:hint="eastAsia"/>
          <w:color w:val="000000" w:themeColor="text1"/>
          <w:sz w:val="24"/>
          <w:szCs w:val="24"/>
          <w:lang w:eastAsia="zh-CN"/>
        </w:rPr>
        <w:t>王震宇、满庆鹏、</w:t>
      </w:r>
      <w:r>
        <w:rPr>
          <w:rFonts w:hint="eastAsia"/>
          <w:color w:val="auto"/>
          <w:sz w:val="24"/>
          <w:szCs w:val="24"/>
          <w:lang w:eastAsia="zh-CN"/>
        </w:rPr>
        <w:t>吴严</w:t>
      </w:r>
    </w:p>
    <w:p>
      <w:pPr>
        <w:ind w:firstLine="1200" w:firstLineChars="500"/>
        <w:rPr>
          <w:color w:val="000000" w:themeColor="text1"/>
          <w:sz w:val="24"/>
          <w:szCs w:val="24"/>
        </w:rPr>
      </w:pPr>
      <w:r>
        <w:rPr>
          <w:rFonts w:hint="eastAsia"/>
          <w:color w:val="000000" w:themeColor="text1"/>
          <w:sz w:val="24"/>
          <w:szCs w:val="24"/>
        </w:rPr>
        <w:t>硕士生代表（研二</w:t>
      </w:r>
      <w:r>
        <w:rPr>
          <w:color w:val="000000" w:themeColor="text1"/>
          <w:sz w:val="24"/>
          <w:szCs w:val="24"/>
        </w:rPr>
        <w:t>1</w:t>
      </w:r>
      <w:r>
        <w:rPr>
          <w:rFonts w:hint="eastAsia"/>
          <w:color w:val="000000" w:themeColor="text1"/>
          <w:sz w:val="24"/>
          <w:szCs w:val="24"/>
        </w:rPr>
        <w:t>人）、博士生代表（博一或博二</w:t>
      </w:r>
      <w:r>
        <w:rPr>
          <w:color w:val="000000" w:themeColor="text1"/>
          <w:sz w:val="24"/>
          <w:szCs w:val="24"/>
        </w:rPr>
        <w:t>1</w:t>
      </w:r>
      <w:r>
        <w:rPr>
          <w:rFonts w:hint="eastAsia"/>
          <w:color w:val="000000" w:themeColor="text1"/>
          <w:sz w:val="24"/>
          <w:szCs w:val="24"/>
        </w:rPr>
        <w:t>人）</w:t>
      </w:r>
    </w:p>
    <w:p>
      <w:pPr>
        <w:rPr>
          <w:color w:val="000000" w:themeColor="text1"/>
          <w:sz w:val="24"/>
          <w:szCs w:val="24"/>
        </w:rPr>
      </w:pPr>
      <w:r>
        <w:rPr>
          <w:rFonts w:hint="eastAsia"/>
          <w:color w:val="000000" w:themeColor="text1"/>
          <w:sz w:val="24"/>
          <w:szCs w:val="24"/>
        </w:rPr>
        <w:t>秘</w:t>
      </w:r>
      <w:r>
        <w:rPr>
          <w:color w:val="000000" w:themeColor="text1"/>
          <w:sz w:val="24"/>
          <w:szCs w:val="24"/>
        </w:rPr>
        <w:t xml:space="preserve">    </w:t>
      </w:r>
      <w:r>
        <w:rPr>
          <w:rFonts w:hint="eastAsia"/>
          <w:color w:val="000000" w:themeColor="text1"/>
          <w:sz w:val="24"/>
          <w:szCs w:val="24"/>
        </w:rPr>
        <w:t>书：陈春霈、孙冬东</w:t>
      </w:r>
    </w:p>
    <w:p>
      <w:pPr>
        <w:rPr>
          <w:color w:val="000000"/>
          <w:sz w:val="24"/>
          <w:szCs w:val="24"/>
        </w:rPr>
      </w:pPr>
      <w:r>
        <w:rPr>
          <w:rFonts w:hint="eastAsia"/>
          <w:color w:val="000000"/>
          <w:sz w:val="24"/>
          <w:szCs w:val="24"/>
        </w:rPr>
        <w:t>二、土木工程学院研究生国家奖学金审评审细则</w:t>
      </w:r>
    </w:p>
    <w:p>
      <w:pPr>
        <w:rPr>
          <w:color w:val="000000"/>
          <w:sz w:val="24"/>
          <w:szCs w:val="24"/>
        </w:rPr>
      </w:pPr>
      <w:r>
        <w:rPr>
          <w:color w:val="000000"/>
          <w:sz w:val="24"/>
          <w:szCs w:val="24"/>
        </w:rPr>
        <w:t xml:space="preserve">1. </w:t>
      </w:r>
      <w:r>
        <w:rPr>
          <w:rFonts w:hint="eastAsia"/>
          <w:color w:val="000000"/>
          <w:sz w:val="24"/>
          <w:szCs w:val="24"/>
        </w:rPr>
        <w:t>申请人需满足研院发【</w:t>
      </w:r>
      <w:r>
        <w:rPr>
          <w:color w:val="000000"/>
          <w:sz w:val="24"/>
          <w:szCs w:val="24"/>
        </w:rPr>
        <w:t>201</w:t>
      </w:r>
      <w:r>
        <w:rPr>
          <w:rFonts w:hint="eastAsia"/>
          <w:color w:val="000000"/>
          <w:sz w:val="24"/>
          <w:szCs w:val="24"/>
          <w:lang w:val="en-US" w:eastAsia="zh-CN"/>
        </w:rPr>
        <w:t>9</w:t>
      </w:r>
      <w:r>
        <w:rPr>
          <w:rFonts w:hint="eastAsia"/>
          <w:color w:val="000000"/>
          <w:sz w:val="24"/>
          <w:szCs w:val="24"/>
        </w:rPr>
        <w:t>】</w:t>
      </w:r>
      <w:r>
        <w:rPr>
          <w:rFonts w:hint="eastAsia"/>
          <w:color w:val="000000"/>
          <w:sz w:val="24"/>
          <w:szCs w:val="24"/>
          <w:lang w:val="en-US" w:eastAsia="zh-CN"/>
        </w:rPr>
        <w:t>74</w:t>
      </w:r>
      <w:r>
        <w:rPr>
          <w:rFonts w:hint="eastAsia"/>
          <w:color w:val="000000"/>
          <w:sz w:val="24"/>
          <w:szCs w:val="24"/>
        </w:rPr>
        <w:t>号文件的基本要求。</w:t>
      </w:r>
    </w:p>
    <w:p>
      <w:pPr>
        <w:rPr>
          <w:color w:val="000000"/>
          <w:sz w:val="24"/>
          <w:szCs w:val="24"/>
        </w:rPr>
      </w:pPr>
      <w:r>
        <w:rPr>
          <w:color w:val="000000"/>
          <w:sz w:val="24"/>
          <w:szCs w:val="24"/>
        </w:rPr>
        <w:t xml:space="preserve">2. </w:t>
      </w:r>
      <w:r>
        <w:rPr>
          <w:rFonts w:hint="eastAsia"/>
          <w:color w:val="000000"/>
          <w:sz w:val="24"/>
          <w:szCs w:val="24"/>
        </w:rPr>
        <w:t>关于博士研究生申请国家奖学金的具体要求（</w:t>
      </w:r>
      <w:r>
        <w:rPr>
          <w:color w:val="000000"/>
          <w:sz w:val="24"/>
          <w:szCs w:val="24"/>
        </w:rPr>
        <w:t>1</w:t>
      </w:r>
      <w:r>
        <w:rPr>
          <w:rFonts w:hint="eastAsia"/>
          <w:color w:val="000000"/>
          <w:sz w:val="24"/>
          <w:szCs w:val="24"/>
        </w:rPr>
        <w:t>、</w:t>
      </w:r>
      <w:r>
        <w:rPr>
          <w:color w:val="000000"/>
          <w:sz w:val="24"/>
          <w:szCs w:val="24"/>
        </w:rPr>
        <w:t>2</w:t>
      </w:r>
      <w:r>
        <w:rPr>
          <w:rFonts w:hint="eastAsia"/>
          <w:color w:val="000000"/>
          <w:sz w:val="24"/>
          <w:szCs w:val="24"/>
        </w:rPr>
        <w:t>为基本条件）：</w:t>
      </w:r>
    </w:p>
    <w:p>
      <w:pPr>
        <w:ind w:firstLine="240" w:firstLineChars="100"/>
        <w:rPr>
          <w:color w:val="000000"/>
          <w:sz w:val="24"/>
          <w:szCs w:val="24"/>
        </w:rPr>
      </w:pPr>
      <w:r>
        <w:rPr>
          <w:rFonts w:hint="eastAsia"/>
          <w:color w:val="000000"/>
          <w:sz w:val="24"/>
          <w:szCs w:val="24"/>
        </w:rPr>
        <w:t>（</w:t>
      </w:r>
      <w:r>
        <w:rPr>
          <w:color w:val="000000"/>
          <w:sz w:val="24"/>
          <w:szCs w:val="24"/>
        </w:rPr>
        <w:t>1</w:t>
      </w:r>
      <w:r>
        <w:rPr>
          <w:rFonts w:hint="eastAsia"/>
          <w:color w:val="000000"/>
          <w:sz w:val="24"/>
          <w:szCs w:val="24"/>
        </w:rPr>
        <w:t>）发表国际期刊</w:t>
      </w:r>
      <w:r>
        <w:rPr>
          <w:color w:val="000000"/>
          <w:sz w:val="24"/>
          <w:szCs w:val="24"/>
        </w:rPr>
        <w:t>SCI</w:t>
      </w:r>
      <w:r>
        <w:rPr>
          <w:rFonts w:hint="eastAsia"/>
          <w:color w:val="000000"/>
          <w:sz w:val="24"/>
          <w:szCs w:val="24"/>
        </w:rPr>
        <w:t>论文至少一篇（总影响因子大于等于</w:t>
      </w:r>
      <w:r>
        <w:rPr>
          <w:color w:val="000000"/>
          <w:sz w:val="24"/>
          <w:szCs w:val="24"/>
        </w:rPr>
        <w:t>0.6</w:t>
      </w:r>
      <w:r>
        <w:rPr>
          <w:rFonts w:hint="eastAsia"/>
          <w:color w:val="000000"/>
          <w:sz w:val="24"/>
          <w:szCs w:val="24"/>
        </w:rPr>
        <w:t>）；</w:t>
      </w:r>
    </w:p>
    <w:p>
      <w:pPr>
        <w:ind w:firstLine="240" w:firstLineChars="100"/>
        <w:rPr>
          <w:color w:val="000000"/>
          <w:sz w:val="24"/>
          <w:szCs w:val="24"/>
        </w:rPr>
      </w:pPr>
      <w:r>
        <w:rPr>
          <w:rFonts w:hint="eastAsia"/>
          <w:color w:val="000000"/>
          <w:sz w:val="24"/>
          <w:szCs w:val="24"/>
        </w:rPr>
        <w:t>（</w:t>
      </w:r>
      <w:r>
        <w:rPr>
          <w:color w:val="000000"/>
          <w:sz w:val="24"/>
          <w:szCs w:val="24"/>
        </w:rPr>
        <w:t>2</w:t>
      </w:r>
      <w:r>
        <w:rPr>
          <w:rFonts w:hint="eastAsia"/>
          <w:color w:val="000000"/>
          <w:sz w:val="24"/>
          <w:szCs w:val="24"/>
        </w:rPr>
        <w:t>）参加国家自然科学基金、</w:t>
      </w:r>
      <w:r>
        <w:rPr>
          <w:color w:val="000000"/>
          <w:sz w:val="24"/>
          <w:szCs w:val="24"/>
        </w:rPr>
        <w:t>863</w:t>
      </w:r>
      <w:r>
        <w:rPr>
          <w:rFonts w:hint="eastAsia"/>
          <w:color w:val="000000"/>
          <w:sz w:val="24"/>
          <w:szCs w:val="24"/>
        </w:rPr>
        <w:t>、</w:t>
      </w:r>
      <w:r>
        <w:rPr>
          <w:color w:val="000000"/>
          <w:sz w:val="24"/>
          <w:szCs w:val="24"/>
        </w:rPr>
        <w:t>973</w:t>
      </w:r>
      <w:r>
        <w:rPr>
          <w:rFonts w:hint="eastAsia"/>
          <w:color w:val="000000"/>
          <w:sz w:val="24"/>
          <w:szCs w:val="24"/>
        </w:rPr>
        <w:t>等纵向项目至少一项；</w:t>
      </w:r>
    </w:p>
    <w:p>
      <w:pPr>
        <w:ind w:firstLine="240" w:firstLineChars="100"/>
        <w:rPr>
          <w:color w:val="000000"/>
          <w:sz w:val="24"/>
          <w:szCs w:val="24"/>
        </w:rPr>
      </w:pPr>
      <w:r>
        <w:rPr>
          <w:rFonts w:hint="eastAsia"/>
          <w:color w:val="000000"/>
          <w:sz w:val="24"/>
          <w:szCs w:val="24"/>
        </w:rPr>
        <w:t>（</w:t>
      </w:r>
      <w:r>
        <w:rPr>
          <w:color w:val="000000"/>
          <w:sz w:val="24"/>
          <w:szCs w:val="24"/>
        </w:rPr>
        <w:t>3</w:t>
      </w:r>
      <w:r>
        <w:rPr>
          <w:rFonts w:hint="eastAsia"/>
          <w:color w:val="000000"/>
          <w:sz w:val="24"/>
          <w:szCs w:val="24"/>
        </w:rPr>
        <w:t>）获得海外著名大学联合培养的博士生优先。</w:t>
      </w:r>
    </w:p>
    <w:p>
      <w:pPr>
        <w:rPr>
          <w:color w:val="000000"/>
          <w:sz w:val="24"/>
          <w:szCs w:val="24"/>
        </w:rPr>
      </w:pPr>
      <w:r>
        <w:rPr>
          <w:color w:val="000000"/>
          <w:sz w:val="24"/>
          <w:szCs w:val="24"/>
        </w:rPr>
        <w:t xml:space="preserve">3. </w:t>
      </w:r>
      <w:r>
        <w:rPr>
          <w:rFonts w:hint="eastAsia"/>
          <w:color w:val="000000"/>
          <w:sz w:val="24"/>
          <w:szCs w:val="24"/>
        </w:rPr>
        <w:t>关于二、三年级硕士研究生申请国家奖学金的具体要求：</w:t>
      </w:r>
    </w:p>
    <w:p>
      <w:pPr>
        <w:ind w:firstLine="240" w:firstLineChars="100"/>
        <w:rPr>
          <w:color w:val="000000"/>
          <w:sz w:val="24"/>
          <w:szCs w:val="24"/>
        </w:rPr>
      </w:pPr>
      <w:r>
        <w:rPr>
          <w:rFonts w:hint="eastAsia"/>
          <w:color w:val="000000"/>
          <w:sz w:val="24"/>
          <w:szCs w:val="24"/>
        </w:rPr>
        <w:t>（</w:t>
      </w:r>
      <w:r>
        <w:rPr>
          <w:color w:val="000000"/>
          <w:sz w:val="24"/>
          <w:szCs w:val="24"/>
        </w:rPr>
        <w:t>1</w:t>
      </w:r>
      <w:r>
        <w:rPr>
          <w:rFonts w:hint="eastAsia"/>
          <w:color w:val="000000"/>
          <w:sz w:val="24"/>
          <w:szCs w:val="24"/>
        </w:rPr>
        <w:t>）二、三年级硕士研究生</w:t>
      </w:r>
      <w:r>
        <w:rPr>
          <w:color w:val="000000"/>
          <w:sz w:val="24"/>
          <w:szCs w:val="24"/>
        </w:rPr>
        <w:t>,</w:t>
      </w:r>
      <w:r>
        <w:rPr>
          <w:rFonts w:hint="eastAsia"/>
          <w:color w:val="000000"/>
          <w:sz w:val="24"/>
          <w:szCs w:val="24"/>
        </w:rPr>
        <w:t>学校对已获推荐攻博资格的研究生单列指标进行评选；</w:t>
      </w:r>
    </w:p>
    <w:p>
      <w:pPr>
        <w:ind w:firstLine="240" w:firstLineChars="100"/>
        <w:rPr>
          <w:color w:val="000000"/>
          <w:sz w:val="24"/>
          <w:szCs w:val="24"/>
        </w:rPr>
      </w:pPr>
      <w:r>
        <w:rPr>
          <w:rFonts w:hint="eastAsia"/>
          <w:color w:val="000000"/>
          <w:sz w:val="24"/>
          <w:szCs w:val="24"/>
        </w:rPr>
        <w:t>（</w:t>
      </w:r>
      <w:r>
        <w:rPr>
          <w:color w:val="000000"/>
          <w:sz w:val="24"/>
          <w:szCs w:val="24"/>
        </w:rPr>
        <w:t>2</w:t>
      </w:r>
      <w:r>
        <w:rPr>
          <w:rFonts w:hint="eastAsia"/>
          <w:color w:val="000000"/>
          <w:sz w:val="24"/>
          <w:szCs w:val="24"/>
        </w:rPr>
        <w:t>）对于非推荐攻博的硕士生，以下条件至少满足一项者优先：</w:t>
      </w:r>
    </w:p>
    <w:p>
      <w:pPr>
        <w:ind w:firstLine="840" w:firstLineChars="350"/>
        <w:rPr>
          <w:color w:val="000000"/>
          <w:sz w:val="24"/>
          <w:szCs w:val="24"/>
        </w:rPr>
      </w:pPr>
      <w:r>
        <w:rPr>
          <w:color w:val="000000"/>
          <w:sz w:val="24"/>
          <w:szCs w:val="24"/>
        </w:rPr>
        <w:t>A</w:t>
      </w:r>
      <w:r>
        <w:rPr>
          <w:rFonts w:hint="eastAsia"/>
          <w:color w:val="000000"/>
          <w:sz w:val="24"/>
          <w:szCs w:val="24"/>
        </w:rPr>
        <w:t>）</w:t>
      </w:r>
      <w:r>
        <w:rPr>
          <w:rFonts w:hint="eastAsia"/>
          <w:color w:val="000000" w:themeColor="text1"/>
          <w:sz w:val="24"/>
          <w:szCs w:val="24"/>
        </w:rPr>
        <w:t>学</w:t>
      </w:r>
      <w:r>
        <w:rPr>
          <w:rFonts w:hint="eastAsia"/>
          <w:color w:val="000000" w:themeColor="text1"/>
          <w:sz w:val="24"/>
          <w:szCs w:val="24"/>
          <w:lang w:eastAsia="zh-CN"/>
        </w:rPr>
        <w:t>业综合</w:t>
      </w:r>
      <w:r>
        <w:rPr>
          <w:rFonts w:hint="eastAsia"/>
          <w:color w:val="000000" w:themeColor="text1"/>
          <w:sz w:val="24"/>
          <w:szCs w:val="24"/>
        </w:rPr>
        <w:t>成绩</w:t>
      </w:r>
      <w:r>
        <w:rPr>
          <w:rFonts w:hint="eastAsia"/>
          <w:color w:val="000000" w:themeColor="text1"/>
          <w:sz w:val="24"/>
          <w:szCs w:val="24"/>
          <w:lang w:eastAsia="zh-CN"/>
        </w:rPr>
        <w:t>（指</w:t>
      </w:r>
      <w:r>
        <w:rPr>
          <w:rFonts w:hint="eastAsia"/>
          <w:color w:val="000000"/>
          <w:sz w:val="24"/>
          <w:szCs w:val="24"/>
          <w:lang w:eastAsia="zh-CN"/>
        </w:rPr>
        <w:t>硕士二年级奖学金评定的综合成绩）</w:t>
      </w:r>
      <w:r>
        <w:rPr>
          <w:rFonts w:hint="eastAsia"/>
          <w:color w:val="000000"/>
          <w:sz w:val="24"/>
          <w:szCs w:val="24"/>
        </w:rPr>
        <w:t>在前</w:t>
      </w:r>
      <w:r>
        <w:rPr>
          <w:color w:val="000000"/>
          <w:sz w:val="24"/>
          <w:szCs w:val="24"/>
        </w:rPr>
        <w:t>50%</w:t>
      </w:r>
      <w:r>
        <w:rPr>
          <w:rFonts w:hint="eastAsia"/>
          <w:color w:val="000000"/>
          <w:sz w:val="24"/>
          <w:szCs w:val="24"/>
        </w:rPr>
        <w:t>；</w:t>
      </w:r>
    </w:p>
    <w:p>
      <w:pPr>
        <w:ind w:firstLine="840" w:firstLineChars="350"/>
        <w:rPr>
          <w:color w:val="000000"/>
          <w:sz w:val="24"/>
          <w:szCs w:val="24"/>
        </w:rPr>
      </w:pPr>
      <w:r>
        <w:rPr>
          <w:color w:val="000000"/>
          <w:sz w:val="24"/>
          <w:szCs w:val="24"/>
        </w:rPr>
        <w:t>B</w:t>
      </w:r>
      <w:r>
        <w:rPr>
          <w:rFonts w:hint="eastAsia"/>
          <w:color w:val="000000"/>
          <w:sz w:val="24"/>
          <w:szCs w:val="24"/>
        </w:rPr>
        <w:t>）发表（含录用）</w:t>
      </w:r>
      <w:r>
        <w:rPr>
          <w:color w:val="000000"/>
          <w:sz w:val="24"/>
          <w:szCs w:val="24"/>
        </w:rPr>
        <w:t>1</w:t>
      </w:r>
      <w:r>
        <w:rPr>
          <w:rFonts w:hint="eastAsia"/>
          <w:color w:val="000000"/>
          <w:sz w:val="24"/>
          <w:szCs w:val="24"/>
        </w:rPr>
        <w:t>篇</w:t>
      </w:r>
      <w:r>
        <w:rPr>
          <w:color w:val="000000"/>
          <w:sz w:val="24"/>
          <w:szCs w:val="24"/>
        </w:rPr>
        <w:t>EI</w:t>
      </w:r>
      <w:r>
        <w:rPr>
          <w:rFonts w:hint="eastAsia"/>
          <w:color w:val="000000"/>
          <w:sz w:val="24"/>
          <w:szCs w:val="24"/>
        </w:rPr>
        <w:t>期刊源或国际会议论文；</w:t>
      </w:r>
    </w:p>
    <w:p>
      <w:pPr>
        <w:ind w:firstLine="840" w:firstLineChars="350"/>
        <w:rPr>
          <w:color w:val="000000"/>
          <w:sz w:val="24"/>
          <w:szCs w:val="24"/>
        </w:rPr>
      </w:pPr>
      <w:r>
        <w:rPr>
          <w:color w:val="000000"/>
          <w:sz w:val="24"/>
          <w:szCs w:val="24"/>
        </w:rPr>
        <w:t>C</w:t>
      </w:r>
      <w:r>
        <w:rPr>
          <w:rFonts w:hint="eastAsia"/>
          <w:color w:val="000000"/>
          <w:sz w:val="24"/>
          <w:szCs w:val="24"/>
        </w:rPr>
        <w:t>）</w:t>
      </w:r>
      <w:r>
        <w:rPr>
          <w:rFonts w:hint="eastAsia"/>
          <w:color w:val="auto"/>
          <w:sz w:val="24"/>
          <w:szCs w:val="24"/>
          <w:lang w:eastAsia="zh-CN"/>
        </w:rPr>
        <w:t>获得</w:t>
      </w:r>
      <w:r>
        <w:rPr>
          <w:rFonts w:hint="eastAsia"/>
          <w:color w:val="auto"/>
          <w:sz w:val="24"/>
          <w:szCs w:val="24"/>
        </w:rPr>
        <w:t>国家发明专利</w:t>
      </w:r>
      <w:r>
        <w:rPr>
          <w:rFonts w:hint="eastAsia"/>
          <w:color w:val="auto"/>
          <w:sz w:val="24"/>
          <w:szCs w:val="24"/>
          <w:lang w:eastAsia="zh-CN"/>
        </w:rPr>
        <w:t>授权</w:t>
      </w:r>
      <w:r>
        <w:rPr>
          <w:color w:val="auto"/>
          <w:sz w:val="24"/>
          <w:szCs w:val="24"/>
        </w:rPr>
        <w:t>1</w:t>
      </w:r>
      <w:r>
        <w:rPr>
          <w:rFonts w:hint="eastAsia"/>
          <w:color w:val="auto"/>
          <w:sz w:val="24"/>
          <w:szCs w:val="24"/>
        </w:rPr>
        <w:t>项（前</w:t>
      </w:r>
      <w:r>
        <w:rPr>
          <w:color w:val="auto"/>
          <w:sz w:val="24"/>
          <w:szCs w:val="24"/>
        </w:rPr>
        <w:t>2</w:t>
      </w:r>
      <w:r>
        <w:rPr>
          <w:rFonts w:hint="eastAsia"/>
          <w:color w:val="auto"/>
          <w:sz w:val="24"/>
          <w:szCs w:val="24"/>
        </w:rPr>
        <w:t>名）</w:t>
      </w:r>
      <w:r>
        <w:rPr>
          <w:rFonts w:hint="eastAsia"/>
          <w:color w:val="000000"/>
          <w:sz w:val="24"/>
          <w:szCs w:val="24"/>
        </w:rPr>
        <w:t>；</w:t>
      </w:r>
    </w:p>
    <w:p>
      <w:pPr>
        <w:ind w:firstLine="840" w:firstLineChars="350"/>
        <w:rPr>
          <w:color w:val="000000"/>
          <w:sz w:val="24"/>
          <w:szCs w:val="24"/>
        </w:rPr>
      </w:pPr>
      <w:r>
        <w:rPr>
          <w:color w:val="000000"/>
          <w:sz w:val="24"/>
          <w:szCs w:val="24"/>
        </w:rPr>
        <w:t>D</w:t>
      </w:r>
      <w:r>
        <w:rPr>
          <w:rFonts w:hint="eastAsia"/>
          <w:color w:val="000000"/>
          <w:sz w:val="24"/>
          <w:szCs w:val="24"/>
        </w:rPr>
        <w:t>）参加国际会议，并做口头报告一次。</w:t>
      </w:r>
    </w:p>
    <w:p>
      <w:pPr>
        <w:ind w:firstLine="240" w:firstLineChars="100"/>
        <w:rPr>
          <w:color w:val="000000"/>
          <w:sz w:val="24"/>
          <w:szCs w:val="24"/>
        </w:rPr>
      </w:pPr>
      <w:r>
        <w:rPr>
          <w:rFonts w:hint="eastAsia"/>
          <w:color w:val="000000"/>
          <w:sz w:val="24"/>
          <w:szCs w:val="24"/>
        </w:rPr>
        <w:t>（</w:t>
      </w:r>
      <w:r>
        <w:rPr>
          <w:color w:val="000000"/>
          <w:sz w:val="24"/>
          <w:szCs w:val="24"/>
        </w:rPr>
        <w:t>3</w:t>
      </w:r>
      <w:r>
        <w:rPr>
          <w:rFonts w:hint="eastAsia"/>
          <w:color w:val="000000"/>
          <w:sz w:val="24"/>
          <w:szCs w:val="24"/>
        </w:rPr>
        <w:t>）以推荐攻博方式获得国家奖学金的硕士研究生原则上不得放弃攻博，否则，按硕士三年学制执行。</w:t>
      </w:r>
    </w:p>
    <w:p>
      <w:pPr>
        <w:rPr>
          <w:color w:val="000000"/>
          <w:sz w:val="24"/>
          <w:szCs w:val="24"/>
        </w:rPr>
      </w:pPr>
      <w:r>
        <w:rPr>
          <w:color w:val="000000"/>
          <w:sz w:val="24"/>
          <w:szCs w:val="24"/>
        </w:rPr>
        <w:t>4.</w:t>
      </w:r>
      <w:r>
        <w:rPr>
          <w:rFonts w:hint="eastAsia"/>
          <w:color w:val="000000"/>
          <w:sz w:val="24"/>
          <w:szCs w:val="24"/>
        </w:rPr>
        <w:t>评选流程：</w:t>
      </w:r>
    </w:p>
    <w:p>
      <w:pPr>
        <w:ind w:firstLine="240" w:firstLineChars="100"/>
        <w:rPr>
          <w:color w:val="000000"/>
          <w:sz w:val="24"/>
          <w:szCs w:val="24"/>
        </w:rPr>
      </w:pPr>
      <w:r>
        <w:rPr>
          <w:rFonts w:hint="eastAsia"/>
          <w:color w:val="000000"/>
          <w:sz w:val="24"/>
          <w:szCs w:val="24"/>
        </w:rPr>
        <w:t>（</w:t>
      </w:r>
      <w:r>
        <w:rPr>
          <w:color w:val="000000"/>
          <w:sz w:val="24"/>
          <w:szCs w:val="24"/>
        </w:rPr>
        <w:t>1</w:t>
      </w:r>
      <w:r>
        <w:rPr>
          <w:rFonts w:hint="eastAsia"/>
          <w:color w:val="000000"/>
          <w:sz w:val="24"/>
          <w:szCs w:val="24"/>
        </w:rPr>
        <w:t>）初选由学科组按照本评审细则对申请人的综合情况进行初评并按得分进行排序，确定不少于学院获奖名额</w:t>
      </w:r>
      <w:r>
        <w:rPr>
          <w:color w:val="000000"/>
          <w:sz w:val="24"/>
          <w:szCs w:val="24"/>
        </w:rPr>
        <w:t>1.5</w:t>
      </w:r>
      <w:r>
        <w:rPr>
          <w:rFonts w:hint="eastAsia"/>
          <w:color w:val="000000"/>
          <w:sz w:val="24"/>
          <w:szCs w:val="24"/>
        </w:rPr>
        <w:t>倍数量的研究生参加学院复评环节，学院按学科组实际学生人数比例分配各学科组上报名额数。</w:t>
      </w:r>
    </w:p>
    <w:p>
      <w:pPr>
        <w:ind w:firstLine="240" w:firstLineChars="100"/>
        <w:rPr>
          <w:color w:val="000000"/>
          <w:sz w:val="24"/>
          <w:szCs w:val="24"/>
        </w:rPr>
      </w:pPr>
      <w:r>
        <w:rPr>
          <w:rFonts w:hint="eastAsia"/>
          <w:color w:val="000000"/>
          <w:sz w:val="24"/>
          <w:szCs w:val="24"/>
        </w:rPr>
        <w:t>（</w:t>
      </w:r>
      <w:r>
        <w:rPr>
          <w:color w:val="000000"/>
          <w:sz w:val="24"/>
          <w:szCs w:val="24"/>
        </w:rPr>
        <w:t>2</w:t>
      </w:r>
      <w:r>
        <w:rPr>
          <w:rFonts w:hint="eastAsia"/>
          <w:color w:val="000000"/>
          <w:sz w:val="24"/>
          <w:szCs w:val="24"/>
        </w:rPr>
        <w:t>）</w:t>
      </w:r>
      <w:r>
        <w:rPr>
          <w:rFonts w:hint="eastAsia"/>
          <w:color w:val="000000" w:themeColor="text1"/>
          <w:sz w:val="24"/>
          <w:szCs w:val="24"/>
        </w:rPr>
        <w:t>学院复评环节由学院评审委员会统一组织复评。</w:t>
      </w:r>
      <w:r>
        <w:rPr>
          <w:rFonts w:hint="eastAsia" w:ascii="宋体" w:hAnsi="宋体" w:eastAsia="宋体" w:cs="宋体"/>
          <w:b w:val="0"/>
          <w:i w:val="0"/>
          <w:caps w:val="0"/>
          <w:color w:val="000000" w:themeColor="text1"/>
          <w:spacing w:val="0"/>
          <w:sz w:val="24"/>
          <w:szCs w:val="24"/>
          <w:shd w:val="clear" w:fill="FFFFFF"/>
        </w:rPr>
        <w:t>在研究生国家奖学金答辩复评环节中，按得票率排序，如研究生导师为评委之一，导师投票结果应不计入该生的得票率。（</w:t>
      </w:r>
      <w:r>
        <w:rPr>
          <w:rFonts w:hint="eastAsia" w:ascii="宋体" w:hAnsi="宋体" w:cs="宋体"/>
          <w:b w:val="0"/>
          <w:i w:val="0"/>
          <w:caps w:val="0"/>
          <w:color w:val="000000" w:themeColor="text1"/>
          <w:spacing w:val="0"/>
          <w:sz w:val="24"/>
          <w:szCs w:val="24"/>
          <w:shd w:val="clear" w:fill="FFFFFF"/>
          <w:lang w:eastAsia="zh-CN"/>
        </w:rPr>
        <w:t>具体</w:t>
      </w:r>
      <w:r>
        <w:rPr>
          <w:rFonts w:hint="eastAsia" w:ascii="宋体" w:hAnsi="宋体" w:eastAsia="宋体" w:cs="宋体"/>
          <w:b w:val="0"/>
          <w:i w:val="0"/>
          <w:caps w:val="0"/>
          <w:color w:val="000000" w:themeColor="text1"/>
          <w:spacing w:val="0"/>
          <w:sz w:val="24"/>
          <w:szCs w:val="24"/>
          <w:shd w:val="clear" w:fill="FFFFFF"/>
        </w:rPr>
        <w:t>做法：投票时导师必须为自己的学生投票，计算时得票数和评委总人数均减去一个，再计算得票率。）</w:t>
      </w:r>
      <w:r>
        <w:rPr>
          <w:rFonts w:hint="eastAsia"/>
          <w:color w:val="000000" w:themeColor="text1"/>
          <w:sz w:val="24"/>
          <w:szCs w:val="24"/>
        </w:rPr>
        <w:t>复评以答辩的方式进行，参评学</w:t>
      </w:r>
      <w:r>
        <w:rPr>
          <w:rFonts w:hint="eastAsia"/>
          <w:color w:val="000000"/>
          <w:sz w:val="24"/>
          <w:szCs w:val="24"/>
        </w:rPr>
        <w:t>生需以</w:t>
      </w:r>
      <w:r>
        <w:rPr>
          <w:color w:val="000000"/>
          <w:sz w:val="24"/>
          <w:szCs w:val="24"/>
        </w:rPr>
        <w:t>PPT</w:t>
      </w:r>
      <w:r>
        <w:rPr>
          <w:rFonts w:hint="eastAsia"/>
          <w:color w:val="000000"/>
          <w:sz w:val="24"/>
          <w:szCs w:val="24"/>
        </w:rPr>
        <w:t>的形式介绍个人情况并回答现场专家评委的提问。答辩环节可允许其他研究生旁听。专家在学生答辩后以现场投票方式确定获奖学生名单，并将结果报送学校评审领导小组。</w:t>
      </w:r>
    </w:p>
    <w:p>
      <w:pPr>
        <w:rPr>
          <w:sz w:val="24"/>
          <w:szCs w:val="24"/>
        </w:rPr>
      </w:pPr>
      <w:r>
        <w:rPr>
          <w:color w:val="000000"/>
          <w:sz w:val="24"/>
          <w:szCs w:val="24"/>
        </w:rPr>
        <w:t>5.</w:t>
      </w:r>
      <w:r>
        <w:rPr>
          <w:rFonts w:hint="eastAsia"/>
          <w:sz w:val="24"/>
          <w:szCs w:val="24"/>
        </w:rPr>
        <w:t>上述解释权归土木学院。</w:t>
      </w:r>
    </w:p>
    <w:p>
      <w:pPr>
        <w:rPr>
          <w:sz w:val="24"/>
          <w:szCs w:val="24"/>
        </w:rPr>
      </w:pPr>
    </w:p>
    <w:p>
      <w:pPr>
        <w:rPr>
          <w:sz w:val="24"/>
          <w:szCs w:val="24"/>
        </w:rPr>
      </w:pPr>
    </w:p>
    <w:p>
      <w:pPr>
        <w:ind w:firstLine="5280" w:firstLineChars="2200"/>
        <w:rPr>
          <w:sz w:val="24"/>
          <w:szCs w:val="24"/>
        </w:rPr>
      </w:pPr>
      <w:r>
        <w:rPr>
          <w:rFonts w:hint="eastAsia"/>
          <w:sz w:val="24"/>
          <w:szCs w:val="24"/>
        </w:rPr>
        <w:t>土木工程学院</w:t>
      </w:r>
    </w:p>
    <w:p>
      <w:pPr>
        <w:ind w:firstLine="5040" w:firstLineChars="2100"/>
        <w:rPr>
          <w:sz w:val="24"/>
          <w:szCs w:val="24"/>
        </w:rPr>
      </w:pPr>
      <w:r>
        <w:rPr>
          <w:sz w:val="24"/>
          <w:szCs w:val="24"/>
        </w:rPr>
        <w:t>201</w:t>
      </w:r>
      <w:r>
        <w:rPr>
          <w:rFonts w:hint="eastAsia"/>
          <w:sz w:val="24"/>
          <w:szCs w:val="24"/>
          <w:lang w:val="en-US" w:eastAsia="zh-CN"/>
        </w:rPr>
        <w:t>9</w:t>
      </w:r>
      <w:r>
        <w:rPr>
          <w:rFonts w:hint="eastAsia"/>
          <w:sz w:val="24"/>
          <w:szCs w:val="24"/>
        </w:rPr>
        <w:t>年</w:t>
      </w:r>
      <w:r>
        <w:rPr>
          <w:rFonts w:hint="eastAsia"/>
          <w:sz w:val="24"/>
          <w:szCs w:val="24"/>
          <w:lang w:val="en-US" w:eastAsia="zh-CN"/>
        </w:rPr>
        <w:t>9</w:t>
      </w:r>
      <w:r>
        <w:rPr>
          <w:rFonts w:hint="eastAsia"/>
          <w:sz w:val="24"/>
          <w:szCs w:val="24"/>
        </w:rPr>
        <w:t>月</w:t>
      </w:r>
      <w:bookmarkStart w:id="0" w:name="_GoBack"/>
      <w:bookmarkEnd w:id="0"/>
      <w:r>
        <w:rPr>
          <w:rFonts w:hint="eastAsia"/>
          <w:sz w:val="24"/>
          <w:szCs w:val="24"/>
          <w:lang w:val="en-US" w:eastAsia="zh-CN"/>
        </w:rPr>
        <w:t>27</w:t>
      </w:r>
      <w:r>
        <w:rPr>
          <w:rFonts w:hint="eastAsia"/>
          <w:sz w:val="24"/>
          <w:szCs w:val="24"/>
        </w:rPr>
        <w:t>日</w:t>
      </w:r>
    </w:p>
    <w:sectPr>
      <w:pgSz w:w="11906" w:h="16838"/>
      <w:pgMar w:top="567" w:right="1797" w:bottom="56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6BCE"/>
    <w:rsid w:val="00010A0E"/>
    <w:rsid w:val="00047588"/>
    <w:rsid w:val="00062B56"/>
    <w:rsid w:val="00087029"/>
    <w:rsid w:val="00091ACB"/>
    <w:rsid w:val="000964FA"/>
    <w:rsid w:val="000B7354"/>
    <w:rsid w:val="00106A12"/>
    <w:rsid w:val="00114230"/>
    <w:rsid w:val="00127AB8"/>
    <w:rsid w:val="00154E31"/>
    <w:rsid w:val="00194BC8"/>
    <w:rsid w:val="001C2A3F"/>
    <w:rsid w:val="001D165A"/>
    <w:rsid w:val="001E061C"/>
    <w:rsid w:val="001E5DCA"/>
    <w:rsid w:val="00211D6F"/>
    <w:rsid w:val="002169C3"/>
    <w:rsid w:val="00216BCE"/>
    <w:rsid w:val="002209FD"/>
    <w:rsid w:val="0023483D"/>
    <w:rsid w:val="00251DFD"/>
    <w:rsid w:val="00282E4B"/>
    <w:rsid w:val="00283BFC"/>
    <w:rsid w:val="002B2E62"/>
    <w:rsid w:val="002C0A66"/>
    <w:rsid w:val="002D00B0"/>
    <w:rsid w:val="002E590F"/>
    <w:rsid w:val="002E7441"/>
    <w:rsid w:val="003414F4"/>
    <w:rsid w:val="0038310F"/>
    <w:rsid w:val="003B2414"/>
    <w:rsid w:val="003B698D"/>
    <w:rsid w:val="003C4F6C"/>
    <w:rsid w:val="003D1AED"/>
    <w:rsid w:val="003E6AB3"/>
    <w:rsid w:val="003F5DB5"/>
    <w:rsid w:val="00402493"/>
    <w:rsid w:val="00422D73"/>
    <w:rsid w:val="00431CE7"/>
    <w:rsid w:val="00440DD9"/>
    <w:rsid w:val="00451072"/>
    <w:rsid w:val="004563A2"/>
    <w:rsid w:val="00480944"/>
    <w:rsid w:val="00487A0C"/>
    <w:rsid w:val="00487E9A"/>
    <w:rsid w:val="004E0F90"/>
    <w:rsid w:val="004E2FDD"/>
    <w:rsid w:val="004E4AD1"/>
    <w:rsid w:val="004E4CEB"/>
    <w:rsid w:val="004F3682"/>
    <w:rsid w:val="004F7C06"/>
    <w:rsid w:val="00500643"/>
    <w:rsid w:val="005611AE"/>
    <w:rsid w:val="005817BB"/>
    <w:rsid w:val="005A2F14"/>
    <w:rsid w:val="005B2C34"/>
    <w:rsid w:val="005C583F"/>
    <w:rsid w:val="005D0530"/>
    <w:rsid w:val="005E32F8"/>
    <w:rsid w:val="005F0023"/>
    <w:rsid w:val="00626F85"/>
    <w:rsid w:val="00641CC8"/>
    <w:rsid w:val="006428B3"/>
    <w:rsid w:val="00642A28"/>
    <w:rsid w:val="00646D82"/>
    <w:rsid w:val="00654C09"/>
    <w:rsid w:val="00660AB8"/>
    <w:rsid w:val="006825B1"/>
    <w:rsid w:val="00696361"/>
    <w:rsid w:val="006B3A35"/>
    <w:rsid w:val="006E0F38"/>
    <w:rsid w:val="006E73AA"/>
    <w:rsid w:val="007233A8"/>
    <w:rsid w:val="00726355"/>
    <w:rsid w:val="00752BCE"/>
    <w:rsid w:val="007733A2"/>
    <w:rsid w:val="00774768"/>
    <w:rsid w:val="007A452F"/>
    <w:rsid w:val="007B031F"/>
    <w:rsid w:val="007B2898"/>
    <w:rsid w:val="008059E6"/>
    <w:rsid w:val="00840BD1"/>
    <w:rsid w:val="008440CB"/>
    <w:rsid w:val="0085092E"/>
    <w:rsid w:val="00857EA8"/>
    <w:rsid w:val="0087667B"/>
    <w:rsid w:val="008E59C1"/>
    <w:rsid w:val="008F0682"/>
    <w:rsid w:val="00903672"/>
    <w:rsid w:val="0092252E"/>
    <w:rsid w:val="009250CE"/>
    <w:rsid w:val="00942959"/>
    <w:rsid w:val="00952291"/>
    <w:rsid w:val="00970291"/>
    <w:rsid w:val="009A458E"/>
    <w:rsid w:val="009C215B"/>
    <w:rsid w:val="00A1021C"/>
    <w:rsid w:val="00A11C2E"/>
    <w:rsid w:val="00A229F4"/>
    <w:rsid w:val="00A23419"/>
    <w:rsid w:val="00A36957"/>
    <w:rsid w:val="00A40173"/>
    <w:rsid w:val="00A877E3"/>
    <w:rsid w:val="00A915B1"/>
    <w:rsid w:val="00AB30A9"/>
    <w:rsid w:val="00B40ACF"/>
    <w:rsid w:val="00B4290C"/>
    <w:rsid w:val="00B54C4C"/>
    <w:rsid w:val="00B878C2"/>
    <w:rsid w:val="00BB041E"/>
    <w:rsid w:val="00BC7CCC"/>
    <w:rsid w:val="00BF2F59"/>
    <w:rsid w:val="00C10CC9"/>
    <w:rsid w:val="00C133E6"/>
    <w:rsid w:val="00C25E31"/>
    <w:rsid w:val="00C272C4"/>
    <w:rsid w:val="00C40802"/>
    <w:rsid w:val="00C4576A"/>
    <w:rsid w:val="00C74B3A"/>
    <w:rsid w:val="00CA5B41"/>
    <w:rsid w:val="00CA7860"/>
    <w:rsid w:val="00CB161D"/>
    <w:rsid w:val="00CD764A"/>
    <w:rsid w:val="00CE3428"/>
    <w:rsid w:val="00D266B9"/>
    <w:rsid w:val="00D34D10"/>
    <w:rsid w:val="00D5232F"/>
    <w:rsid w:val="00D712FA"/>
    <w:rsid w:val="00D803A1"/>
    <w:rsid w:val="00E15F19"/>
    <w:rsid w:val="00E214D6"/>
    <w:rsid w:val="00E416BF"/>
    <w:rsid w:val="00E516DC"/>
    <w:rsid w:val="00E57583"/>
    <w:rsid w:val="00E7066C"/>
    <w:rsid w:val="00E71B06"/>
    <w:rsid w:val="00E95DDE"/>
    <w:rsid w:val="00EA5ED2"/>
    <w:rsid w:val="00F02556"/>
    <w:rsid w:val="00F05924"/>
    <w:rsid w:val="00F108F3"/>
    <w:rsid w:val="00F21A8A"/>
    <w:rsid w:val="00F413B9"/>
    <w:rsid w:val="00F52DE8"/>
    <w:rsid w:val="00F65DE5"/>
    <w:rsid w:val="00F72098"/>
    <w:rsid w:val="00FC150C"/>
    <w:rsid w:val="00FC63E7"/>
    <w:rsid w:val="00FE356A"/>
    <w:rsid w:val="00FE4951"/>
    <w:rsid w:val="04350FBA"/>
    <w:rsid w:val="05876CA1"/>
    <w:rsid w:val="08F9073E"/>
    <w:rsid w:val="0AEA3BF7"/>
    <w:rsid w:val="112C594C"/>
    <w:rsid w:val="11F72847"/>
    <w:rsid w:val="1D7901E3"/>
    <w:rsid w:val="1EAC6564"/>
    <w:rsid w:val="25D527A4"/>
    <w:rsid w:val="3097624B"/>
    <w:rsid w:val="33AD3ABC"/>
    <w:rsid w:val="34DB215F"/>
    <w:rsid w:val="3B032B66"/>
    <w:rsid w:val="3DF3162C"/>
    <w:rsid w:val="43BF183C"/>
    <w:rsid w:val="493E49D3"/>
    <w:rsid w:val="4CDF58B7"/>
    <w:rsid w:val="7E8C38B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qFormat/>
    <w:locked/>
    <w:uiPriority w:val="99"/>
    <w:rPr>
      <w:rFonts w:cs="Times New Roman"/>
      <w:sz w:val="18"/>
      <w:szCs w:val="18"/>
    </w:rPr>
  </w:style>
  <w:style w:type="character" w:customStyle="1" w:styleId="8">
    <w:name w:val="Footer Char"/>
    <w:basedOn w:val="6"/>
    <w:link w:val="3"/>
    <w:qFormat/>
    <w:locked/>
    <w:uiPriority w:val="99"/>
    <w:rPr>
      <w:rFonts w:cs="Times New Roman"/>
      <w:sz w:val="18"/>
      <w:szCs w:val="18"/>
    </w:rPr>
  </w:style>
  <w:style w:type="character" w:customStyle="1" w:styleId="9">
    <w:name w:val="Balloon Text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hit</Company>
  <Pages>1</Pages>
  <Words>143</Words>
  <Characters>819</Characters>
  <Lines>0</Lines>
  <Paragraphs>0</Paragraphs>
  <TotalTime>43</TotalTime>
  <ScaleCrop>false</ScaleCrop>
  <LinksUpToDate>false</LinksUpToDate>
  <CharactersWithSpaces>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2013-10-22T09:13:00Z</dcterms:created>
  <dc:creator>吕大刚</dc:creator>
  <cp:lastModifiedBy>Administrator</cp:lastModifiedBy>
  <cp:lastPrinted>2015-10-26T06:37:00Z</cp:lastPrinted>
  <dcterms:modified xsi:type="dcterms:W3CDTF">2019-09-29T05:57:32Z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